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35C" w:rsidRPr="00FD1ECC" w:rsidRDefault="0077235C" w:rsidP="0077235C">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بِسْمِ اللّٰهِ الرَّحْمٰنِ الرَّحِيمِ</w:t>
      </w:r>
    </w:p>
    <w:p w:rsidR="0077235C" w:rsidRPr="00FD1ECC" w:rsidRDefault="0077235C" w:rsidP="0077235C">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وَ بِهِ نَسْتَعِينُ</w:t>
      </w:r>
    </w:p>
    <w:p w:rsidR="0077235C" w:rsidRDefault="0077235C" w:rsidP="00F36BE5">
      <w:pPr>
        <w:spacing w:before="120" w:after="0" w:line="240" w:lineRule="auto"/>
        <w:jc w:val="center"/>
        <w:rPr>
          <w:rFonts w:ascii="Calibri" w:hAnsi="Calibri" w:cs="Calibri"/>
          <w:color w:val="0000B0"/>
          <w:sz w:val="28"/>
          <w:szCs w:val="28"/>
        </w:rPr>
      </w:pPr>
      <w:r>
        <w:rPr>
          <w:rFonts w:ascii="Calibri" w:hAnsi="Calibri" w:cs="Calibri"/>
          <w:color w:val="0000B0"/>
          <w:sz w:val="28"/>
          <w:szCs w:val="28"/>
        </w:rPr>
        <w:t>ONBEŞİNCİ</w:t>
      </w:r>
      <w:r w:rsidRPr="00FD1ECC">
        <w:rPr>
          <w:rFonts w:ascii="Calibri" w:hAnsi="Calibri" w:cs="Calibri"/>
          <w:color w:val="0000B0"/>
          <w:sz w:val="28"/>
          <w:szCs w:val="28"/>
        </w:rPr>
        <w:t xml:space="preserve"> ŞUA </w:t>
      </w:r>
      <w:r w:rsidR="00F36BE5">
        <w:rPr>
          <w:rFonts w:ascii="Calibri" w:hAnsi="Calibri" w:cs="Calibri"/>
          <w:color w:val="0000B0"/>
          <w:sz w:val="28"/>
          <w:szCs w:val="28"/>
        </w:rPr>
        <w:t>616-618 SAYFALAR</w:t>
      </w:r>
      <w:r w:rsidRPr="00FD1ECC">
        <w:rPr>
          <w:rFonts w:ascii="Calibri" w:hAnsi="Calibri" w:cs="Calibri"/>
          <w:color w:val="0000B0"/>
          <w:sz w:val="28"/>
          <w:szCs w:val="28"/>
        </w:rPr>
        <w:t xml:space="preserve">IN TAHŞİYESİ </w:t>
      </w:r>
      <w:r>
        <w:rPr>
          <w:rFonts w:ascii="Calibri" w:hAnsi="Calibri" w:cs="Calibri"/>
          <w:color w:val="0000B0"/>
          <w:sz w:val="28"/>
          <w:szCs w:val="28"/>
        </w:rPr>
        <w:t>–</w:t>
      </w:r>
      <w:r w:rsidRPr="00FD1ECC">
        <w:rPr>
          <w:rFonts w:ascii="Calibri" w:hAnsi="Calibri" w:cs="Calibri"/>
          <w:color w:val="0000B0"/>
          <w:sz w:val="28"/>
          <w:szCs w:val="28"/>
        </w:rPr>
        <w:t xml:space="preserve"> </w:t>
      </w:r>
      <w:r>
        <w:rPr>
          <w:rFonts w:ascii="Calibri" w:hAnsi="Calibri" w:cs="Calibri"/>
          <w:color w:val="0000B0"/>
          <w:sz w:val="28"/>
          <w:szCs w:val="28"/>
        </w:rPr>
        <w:t>SIRAT-I MÜSTAKİM</w:t>
      </w:r>
    </w:p>
    <w:p w:rsidR="0077235C" w:rsidRPr="0077235C" w:rsidRDefault="0077235C" w:rsidP="0077235C">
      <w:pPr>
        <w:spacing w:before="120" w:after="0" w:line="240" w:lineRule="auto"/>
        <w:jc w:val="both"/>
        <w:rPr>
          <w:rFonts w:ascii="Calibri" w:hAnsi="Calibri" w:cs="Calibri"/>
          <w:sz w:val="24"/>
          <w:szCs w:val="24"/>
        </w:rPr>
      </w:pPr>
      <w:r w:rsidRPr="0077235C">
        <w:rPr>
          <w:rFonts w:ascii="Calibri" w:hAnsi="Calibri" w:cs="Calibri"/>
          <w:sz w:val="24"/>
          <w:szCs w:val="24"/>
        </w:rPr>
        <w:t>Hem ahlâk-ı insaniyede en rahat, en faydalı, en kısa, en selâmetli yol ise sırat-ı müstakimde, istikamettedir.</w:t>
      </w:r>
      <w:r w:rsidR="000508E4">
        <w:rPr>
          <w:rStyle w:val="FootnoteReference"/>
          <w:rFonts w:ascii="Calibri" w:hAnsi="Calibri" w:cs="Calibri"/>
          <w:sz w:val="24"/>
          <w:szCs w:val="24"/>
        </w:rPr>
        <w:footnoteReference w:id="2"/>
      </w:r>
      <w:r w:rsidRPr="0077235C">
        <w:rPr>
          <w:rFonts w:ascii="Calibri" w:hAnsi="Calibri" w:cs="Calibri"/>
          <w:sz w:val="24"/>
          <w:szCs w:val="24"/>
        </w:rPr>
        <w:t xml:space="preserve"> Meselâ: Kuvve-i akliye, hadd-i vasat olan hikmeti ve kolay, faydalı istikameti kaybetse, ifrat veya tefritle muzır bir cerbezeye ve belalı bir belâhete düşer, uzun yollarında tehlikeleri çeker.</w:t>
      </w:r>
      <w:r w:rsidR="00D4233A">
        <w:rPr>
          <w:rStyle w:val="FootnoteReference"/>
          <w:rFonts w:ascii="Calibri" w:hAnsi="Calibri" w:cs="Calibri"/>
          <w:sz w:val="24"/>
          <w:szCs w:val="24"/>
        </w:rPr>
        <w:footnoteReference w:id="3"/>
      </w:r>
      <w:r w:rsidRPr="0077235C">
        <w:rPr>
          <w:rFonts w:ascii="Calibri" w:hAnsi="Calibri" w:cs="Calibri"/>
          <w:sz w:val="24"/>
          <w:szCs w:val="24"/>
        </w:rPr>
        <w:t xml:space="preserve"> Ve kuvve-i gazabiye, hadd-i istikamet olan şecaati takib etmezse; ifratla çok zararlı ve zulümlü tehevvüre ve tecebbüre ve tefritle çok zilletli ve elemli cebanet ve korkaklığa düşer.. istikameti kaybetmesinin, hatasının cezası olarak daimî, vicdanî bir azabı çeker. Ve insandaki kuvve-i şeheviye, selâmetli istikameti ve iffeti zayi' etse; ifratla musibetli, rezaletli fücura, fuhşa ve tefritle humuda, yani nimetlerdeki zevk ve lezzetten mahrum düşer ve o manevî hastalığın azabını çeker.</w:t>
      </w:r>
    </w:p>
    <w:p w:rsidR="0077235C" w:rsidRPr="0077235C" w:rsidRDefault="0077235C" w:rsidP="0077235C">
      <w:pPr>
        <w:spacing w:before="120" w:after="0" w:line="240" w:lineRule="auto"/>
        <w:jc w:val="both"/>
        <w:rPr>
          <w:rFonts w:ascii="Calibri" w:hAnsi="Calibri" w:cs="Calibri"/>
          <w:sz w:val="24"/>
          <w:szCs w:val="24"/>
        </w:rPr>
      </w:pPr>
      <w:r w:rsidRPr="0077235C">
        <w:rPr>
          <w:rFonts w:ascii="Calibri" w:hAnsi="Calibri" w:cs="Calibri"/>
          <w:sz w:val="24"/>
          <w:szCs w:val="24"/>
        </w:rPr>
        <w:t xml:space="preserve">İşte bunlara kıyasen, hayat-ı şahsiye ve hayat-ı içtimaiyenin bütün yollarında, istikamet en faydalı ve kolay ve kısadır. Ve sırat-ı müstakim kaybedilse, o yollar pek belalı ve uzun ve zararlı olur. Demek </w:t>
      </w:r>
      <w:r w:rsidRPr="005A33ED">
        <w:rPr>
          <w:rFonts w:ascii="Calibri" w:hAnsi="Calibri" w:cs="Calibri"/>
          <w:color w:val="FF0000"/>
          <w:sz w:val="28"/>
          <w:szCs w:val="28"/>
          <w:rtl/>
        </w:rPr>
        <w:t>اِهْدِنَا الصِّرَاطَ الْمُسْتَقِيمَ</w:t>
      </w:r>
      <w:r w:rsidRPr="0077235C">
        <w:rPr>
          <w:rFonts w:ascii="Calibri" w:hAnsi="Calibri" w:cs="Calibri"/>
          <w:sz w:val="24"/>
          <w:szCs w:val="24"/>
        </w:rPr>
        <w:t xml:space="preserve"> pek çok câmi' ve geniş bir dua, bir ubudiyet olduğu gibi bir hüccet-i tevhide ve bir ders-i hikmete ve bir talim-i ahlâka işaret eder.</w:t>
      </w:r>
    </w:p>
    <w:p w:rsidR="0077235C" w:rsidRPr="0077235C" w:rsidRDefault="0077235C" w:rsidP="0077235C">
      <w:pPr>
        <w:spacing w:before="120" w:after="0" w:line="240" w:lineRule="auto"/>
        <w:jc w:val="both"/>
        <w:rPr>
          <w:rFonts w:ascii="Calibri" w:hAnsi="Calibri" w:cs="Calibri"/>
          <w:sz w:val="24"/>
          <w:szCs w:val="24"/>
        </w:rPr>
      </w:pPr>
      <w:r w:rsidRPr="000508E4">
        <w:rPr>
          <w:rFonts w:ascii="Calibri" w:hAnsi="Calibri" w:cs="Calibri"/>
          <w:b/>
          <w:bCs/>
          <w:sz w:val="24"/>
          <w:szCs w:val="24"/>
        </w:rPr>
        <w:t>Yedinci Kelime:</w:t>
      </w:r>
      <w:r w:rsidRPr="0077235C">
        <w:rPr>
          <w:rFonts w:ascii="Calibri" w:hAnsi="Calibri" w:cs="Calibri"/>
          <w:sz w:val="24"/>
          <w:szCs w:val="24"/>
        </w:rPr>
        <w:t xml:space="preserve"> </w:t>
      </w:r>
      <w:r w:rsidRPr="005A33ED">
        <w:rPr>
          <w:rFonts w:ascii="Calibri" w:hAnsi="Calibri" w:cs="Calibri"/>
          <w:color w:val="FF0000"/>
          <w:sz w:val="28"/>
          <w:szCs w:val="28"/>
          <w:rtl/>
        </w:rPr>
        <w:t>صِرَاطَ الَّذِينَ اَنْعَمْتَ عَلَيْهِمْ</w:t>
      </w:r>
      <w:r w:rsidRPr="0077235C">
        <w:rPr>
          <w:rFonts w:ascii="Calibri" w:hAnsi="Calibri" w:cs="Calibri"/>
          <w:sz w:val="24"/>
          <w:szCs w:val="24"/>
        </w:rPr>
        <w:t xml:space="preserve"> dir. Bundaki hüccete gayet kısa bir işaret:</w:t>
      </w:r>
    </w:p>
    <w:p w:rsidR="005A33ED" w:rsidRPr="005A33ED" w:rsidRDefault="0077235C" w:rsidP="005A33ED">
      <w:pPr>
        <w:spacing w:before="120" w:after="0" w:line="240" w:lineRule="auto"/>
        <w:jc w:val="both"/>
        <w:rPr>
          <w:rFonts w:ascii="Calibri" w:hAnsi="Calibri" w:cs="Calibri"/>
          <w:sz w:val="24"/>
          <w:szCs w:val="24"/>
        </w:rPr>
      </w:pPr>
      <w:r w:rsidRPr="000508E4">
        <w:rPr>
          <w:rFonts w:ascii="Calibri" w:hAnsi="Calibri" w:cs="Calibri"/>
          <w:b/>
          <w:bCs/>
          <w:sz w:val="24"/>
          <w:szCs w:val="24"/>
        </w:rPr>
        <w:t>Evvelâ:</w:t>
      </w:r>
      <w:r w:rsidRPr="0077235C">
        <w:rPr>
          <w:rFonts w:ascii="Calibri" w:hAnsi="Calibri" w:cs="Calibri"/>
          <w:sz w:val="24"/>
          <w:szCs w:val="24"/>
        </w:rPr>
        <w:t xml:space="preserve"> </w:t>
      </w:r>
      <w:r w:rsidRPr="005A33ED">
        <w:rPr>
          <w:rFonts w:ascii="Calibri" w:hAnsi="Calibri" w:cs="Calibri"/>
          <w:color w:val="FF0000"/>
          <w:sz w:val="28"/>
          <w:szCs w:val="28"/>
          <w:rtl/>
        </w:rPr>
        <w:t>عَلَيْهِمْ</w:t>
      </w:r>
      <w:r w:rsidRPr="0077235C">
        <w:rPr>
          <w:rFonts w:ascii="Calibri" w:hAnsi="Calibri" w:cs="Calibri"/>
          <w:sz w:val="24"/>
          <w:szCs w:val="24"/>
        </w:rPr>
        <w:t xml:space="preserve"> kimlerdir diye </w:t>
      </w:r>
      <w:r w:rsidRPr="005A33ED">
        <w:rPr>
          <w:rFonts w:ascii="Calibri" w:hAnsi="Calibri" w:cs="Calibri"/>
          <w:color w:val="FF0000"/>
          <w:sz w:val="28"/>
          <w:szCs w:val="28"/>
          <w:rtl/>
        </w:rPr>
        <w:t>مِنَ النَّبِيِّينَ وَالصِّدِّيقِينَ وَالشُّهَدَاءِ وَالصَّالِحِينَ</w:t>
      </w:r>
      <w:r w:rsidRPr="0077235C">
        <w:rPr>
          <w:rFonts w:ascii="Calibri" w:hAnsi="Calibri" w:cs="Calibri"/>
          <w:sz w:val="24"/>
          <w:szCs w:val="24"/>
        </w:rPr>
        <w:t xml:space="preserve"> âyeti beyan ederek, nev'-i beşerde istikamet nimetine mazhar dört taifeyi beyan içinde, o taifelerin reislerine </w:t>
      </w:r>
      <w:r w:rsidRPr="005A33ED">
        <w:rPr>
          <w:rFonts w:ascii="Calibri" w:hAnsi="Calibri" w:cs="Calibri"/>
          <w:color w:val="FF0000"/>
          <w:sz w:val="28"/>
          <w:szCs w:val="28"/>
          <w:rtl/>
        </w:rPr>
        <w:t>اَلنَّبِيِّينَ</w:t>
      </w:r>
      <w:r w:rsidRPr="0077235C">
        <w:rPr>
          <w:rFonts w:ascii="Calibri" w:hAnsi="Calibri" w:cs="Calibri"/>
          <w:sz w:val="24"/>
          <w:szCs w:val="24"/>
        </w:rPr>
        <w:t xml:space="preserve"> ile Muhammed Aleyhissalâtü Vesselâm'a,</w:t>
      </w:r>
      <w:r w:rsidR="005A33ED">
        <w:rPr>
          <w:rFonts w:ascii="Calibri" w:hAnsi="Calibri" w:cs="Calibri"/>
          <w:sz w:val="24"/>
          <w:szCs w:val="24"/>
        </w:rPr>
        <w:t xml:space="preserve"> </w:t>
      </w:r>
      <w:r w:rsidR="005A33ED" w:rsidRPr="005A33ED">
        <w:rPr>
          <w:rFonts w:ascii="Calibri" w:hAnsi="Calibri" w:cs="Calibri"/>
          <w:color w:val="FF0000"/>
          <w:sz w:val="28"/>
          <w:szCs w:val="28"/>
          <w:rtl/>
        </w:rPr>
        <w:t>وَالصِّدِّيقِينَ</w:t>
      </w:r>
      <w:r w:rsidR="005A33ED" w:rsidRPr="005A33ED">
        <w:rPr>
          <w:rFonts w:ascii="Calibri" w:hAnsi="Calibri" w:cs="Calibri"/>
          <w:sz w:val="24"/>
          <w:szCs w:val="24"/>
        </w:rPr>
        <w:t xml:space="preserve"> ile Ebu Bekir-i Sıddık Radıyallahü Anh'a, </w:t>
      </w:r>
      <w:r w:rsidR="005A33ED" w:rsidRPr="005A33ED">
        <w:rPr>
          <w:rFonts w:ascii="Calibri" w:hAnsi="Calibri" w:cs="Calibri"/>
          <w:color w:val="FF0000"/>
          <w:sz w:val="28"/>
          <w:szCs w:val="28"/>
          <w:rtl/>
        </w:rPr>
        <w:t>وَالشُّهَدَاءِ</w:t>
      </w:r>
      <w:r w:rsidR="005A33ED" w:rsidRPr="005A33ED">
        <w:rPr>
          <w:rFonts w:ascii="Calibri" w:hAnsi="Calibri" w:cs="Calibri"/>
          <w:sz w:val="24"/>
          <w:szCs w:val="24"/>
        </w:rPr>
        <w:t xml:space="preserve"> ile Ömer ve Osman ve Ali Radıyallahü Anhüm'e işaret edip; Peygamber'den (A.S.M.) sonra Sıddık (R.A.), sonra Ömer (R.A.), Osman (R.A.), Ali (R.A.) üçü hem şehid, hem halife olacaklar diye gaybî ihbarla bir lem'a-i i'caz gösterir.</w:t>
      </w:r>
    </w:p>
    <w:p w:rsidR="005A33ED" w:rsidRPr="005A33ED" w:rsidRDefault="005A33ED" w:rsidP="005A33ED">
      <w:pPr>
        <w:spacing w:before="120" w:after="0" w:line="240" w:lineRule="auto"/>
        <w:jc w:val="both"/>
        <w:rPr>
          <w:rFonts w:ascii="Calibri" w:hAnsi="Calibri" w:cs="Calibri"/>
          <w:sz w:val="24"/>
          <w:szCs w:val="24"/>
        </w:rPr>
      </w:pPr>
      <w:r w:rsidRPr="000508E4">
        <w:rPr>
          <w:rFonts w:ascii="Calibri" w:hAnsi="Calibri" w:cs="Calibri"/>
          <w:b/>
          <w:bCs/>
          <w:sz w:val="24"/>
          <w:szCs w:val="24"/>
        </w:rPr>
        <w:t>Sâniyen:</w:t>
      </w:r>
      <w:r w:rsidRPr="005A33ED">
        <w:rPr>
          <w:rFonts w:ascii="Calibri" w:hAnsi="Calibri" w:cs="Calibri"/>
          <w:sz w:val="24"/>
          <w:szCs w:val="24"/>
        </w:rPr>
        <w:t xml:space="preserve"> Nev'-i beşerin en yüksek, en müstakim, en sadık bu dört taifesi; Âdem (A.S.) zamanından beri hadsiz hüccetler, mu'cizeler, kerametler, deliller, keşfiyatlar ile bütün kuvvetleriyle dava edip ve beşerin ekseri onları tasdik ettikleri hakikat-ı tevhid, elbette güneş gibi kat'îdir. Bu hadsiz meşahir-i insaniye, yüzbinler mu'cizelerle ve hadsiz hüccetlerle doğruluklarını ve hakkaniyetlerini gösterip tevhid ve vücub-u vücud ve vahdet-i Hâlık gibi müsbet mes'elelerde ittifakları ve icma'ları öyle bir hüccettir ki; hiçbir şübheyi bırakmaz. Acaba kâinatın ehemmiyetli netice-i hilkatı ve zeminin halifesi ve zîhayatların istidadca en cem'iyetli ve yükseği olan nev'-i beşerin en müstakimleri, en sadık ve musaddak mürşidleri ve kemalâtta reisleri olan mezkûr o dört taifenin icma' ve ittifakla iman edip haber verdikleri ve kâinatı bütün mevcudatıyla delil gösterip hakkalyakîn, aynelyakîn, ilmelyakîn itikad ettikleri ve sarsılmaz kanaat getirdikleri bir hakikatı tanımayan ve inkâr eden, hadsiz bir cinayet ve nihayetsiz bir azaba müstehak olmaz mı?</w:t>
      </w:r>
    </w:p>
    <w:p w:rsidR="005A33ED" w:rsidRPr="005A33ED" w:rsidRDefault="005A33ED" w:rsidP="005A33ED">
      <w:pPr>
        <w:spacing w:before="120" w:after="0" w:line="240" w:lineRule="auto"/>
        <w:jc w:val="both"/>
        <w:rPr>
          <w:rFonts w:ascii="Calibri" w:hAnsi="Calibri" w:cs="Calibri"/>
          <w:sz w:val="24"/>
          <w:szCs w:val="24"/>
        </w:rPr>
      </w:pPr>
      <w:r w:rsidRPr="000508E4">
        <w:rPr>
          <w:rFonts w:ascii="Calibri" w:hAnsi="Calibri" w:cs="Calibri"/>
          <w:b/>
          <w:bCs/>
          <w:sz w:val="24"/>
          <w:szCs w:val="24"/>
        </w:rPr>
        <w:lastRenderedPageBreak/>
        <w:t>Sekizinci Kelime:</w:t>
      </w:r>
      <w:r>
        <w:rPr>
          <w:rFonts w:ascii="Calibri" w:hAnsi="Calibri" w:cs="Calibri"/>
          <w:sz w:val="24"/>
          <w:szCs w:val="24"/>
        </w:rPr>
        <w:t xml:space="preserve"> </w:t>
      </w:r>
      <w:r w:rsidRPr="005A33ED">
        <w:rPr>
          <w:rFonts w:ascii="Calibri" w:hAnsi="Calibri" w:cs="Calibri"/>
          <w:color w:val="FF0000"/>
          <w:sz w:val="28"/>
          <w:szCs w:val="28"/>
          <w:rtl/>
        </w:rPr>
        <w:t>غَيْرِ الْمَغْضُوبِ عَلَيْهِمْ وَلاَ الضَّالِّينَ</w:t>
      </w:r>
      <w:r w:rsidRPr="005A33ED">
        <w:rPr>
          <w:rFonts w:ascii="Calibri" w:hAnsi="Calibri" w:cs="Calibri"/>
          <w:sz w:val="24"/>
          <w:szCs w:val="24"/>
        </w:rPr>
        <w:t xml:space="preserve"> dir.</w:t>
      </w:r>
      <w:r w:rsidR="00E82D98">
        <w:rPr>
          <w:rStyle w:val="FootnoteReference"/>
          <w:rFonts w:ascii="Calibri" w:hAnsi="Calibri" w:cs="Calibri"/>
          <w:sz w:val="24"/>
          <w:szCs w:val="24"/>
        </w:rPr>
        <w:footnoteReference w:id="4"/>
      </w:r>
      <w:r w:rsidRPr="005A33ED">
        <w:rPr>
          <w:rFonts w:ascii="Calibri" w:hAnsi="Calibri" w:cs="Calibri"/>
          <w:sz w:val="24"/>
          <w:szCs w:val="24"/>
        </w:rPr>
        <w:t xml:space="preserve"> Bundaki hüccete kısa bir işarettir:</w:t>
      </w:r>
    </w:p>
    <w:p w:rsidR="005A33ED" w:rsidRPr="005A33ED" w:rsidRDefault="005A33ED" w:rsidP="005A33ED">
      <w:pPr>
        <w:spacing w:before="120" w:after="0" w:line="240" w:lineRule="auto"/>
        <w:jc w:val="both"/>
        <w:rPr>
          <w:rFonts w:ascii="Calibri" w:hAnsi="Calibri" w:cs="Calibri"/>
          <w:sz w:val="24"/>
          <w:szCs w:val="24"/>
        </w:rPr>
      </w:pPr>
      <w:r w:rsidRPr="005A33ED">
        <w:rPr>
          <w:rFonts w:ascii="Calibri" w:hAnsi="Calibri" w:cs="Calibri"/>
          <w:sz w:val="24"/>
          <w:szCs w:val="24"/>
        </w:rPr>
        <w:t>Evet tarih-i beşer ve kütüb-ü mukaddese, tevatürlere ve küllî ve kat'î hâdisat ve malûmat ve müşahedat-ı beşeriyeye istinaden bil'ittifak, sarih ve kat'î bir surette haber veriyorlar ki: Sırat-ı müstakim ehli olan Peygamberlere (Aleyhimüsselâm) binler vakıatta istimdadlarına hârika bir tarzda gaybî imdad gelmesi ve onların istedikleri aynen verilmesi ve düşmanları olan münkirlere yüzer hâdisatta aynı zamanda gazab gelmesi ve semavî musibet başlarına inmesi kat'î şeksiz gösterir ki; bu kâinatın ve içindeki nev'-i beşerin</w:t>
      </w:r>
      <w:r>
        <w:rPr>
          <w:rFonts w:ascii="Calibri" w:hAnsi="Calibri" w:cs="Calibri"/>
          <w:sz w:val="24"/>
          <w:szCs w:val="24"/>
        </w:rPr>
        <w:t xml:space="preserve"> </w:t>
      </w:r>
      <w:r w:rsidRPr="005A33ED">
        <w:rPr>
          <w:rFonts w:ascii="Calibri" w:hAnsi="Calibri" w:cs="Calibri"/>
          <w:sz w:val="24"/>
          <w:szCs w:val="24"/>
        </w:rPr>
        <w:t>Hakîm ve Âdil ve Muhsin ve Kerim ve Aziz ve Kahhar bir Mutasarrıfı, bir Rabbi var ki; Nuh ve İbrahim, Musa ve Hud ve Sâlih gibi (Aleyhimüsselâm) çok nebilere pek hârika bir surette tarihî ve geniş hâdiselerle muzafferiyet ve necatları vermiş ve Semud ve Âd ve Firavun kavimleri gibi çok zalimlere ve münkirlere dahi, peygamberlere isyanlarına mukabil dünyada dahi bir ceza olarak, başlarına dehşetli semavî musibetler indirmiş.</w:t>
      </w:r>
    </w:p>
    <w:p w:rsidR="005A33ED" w:rsidRPr="005A33ED" w:rsidRDefault="005A33ED" w:rsidP="005A33ED">
      <w:pPr>
        <w:spacing w:before="120" w:after="0" w:line="240" w:lineRule="auto"/>
        <w:jc w:val="both"/>
        <w:rPr>
          <w:rFonts w:ascii="Calibri" w:hAnsi="Calibri" w:cs="Calibri"/>
          <w:sz w:val="24"/>
          <w:szCs w:val="24"/>
        </w:rPr>
      </w:pPr>
      <w:r w:rsidRPr="005A33ED">
        <w:rPr>
          <w:rFonts w:ascii="Calibri" w:hAnsi="Calibri" w:cs="Calibri"/>
          <w:sz w:val="24"/>
          <w:szCs w:val="24"/>
        </w:rPr>
        <w:t>Evet Âdem (A.S.) zamanından beri, beşeriyette iki cereyan-ı azîm</w:t>
      </w:r>
      <w:r w:rsidR="000508E4">
        <w:rPr>
          <w:rStyle w:val="FootnoteReference"/>
          <w:rFonts w:ascii="Calibri" w:hAnsi="Calibri" w:cs="Calibri"/>
          <w:sz w:val="24"/>
          <w:szCs w:val="24"/>
        </w:rPr>
        <w:footnoteReference w:id="5"/>
      </w:r>
      <w:r w:rsidRPr="005A33ED">
        <w:rPr>
          <w:rFonts w:ascii="Calibri" w:hAnsi="Calibri" w:cs="Calibri"/>
          <w:sz w:val="24"/>
          <w:szCs w:val="24"/>
        </w:rPr>
        <w:t xml:space="preserve"> birbiriyle çarpışarak gelmiş.</w:t>
      </w:r>
      <w:r>
        <w:rPr>
          <w:rStyle w:val="FootnoteReference"/>
          <w:rFonts w:ascii="Calibri" w:hAnsi="Calibri" w:cs="Calibri"/>
          <w:sz w:val="24"/>
          <w:szCs w:val="24"/>
        </w:rPr>
        <w:footnoteReference w:id="6"/>
      </w:r>
      <w:r w:rsidRPr="005A33ED">
        <w:rPr>
          <w:rFonts w:ascii="Calibri" w:hAnsi="Calibri" w:cs="Calibri"/>
          <w:sz w:val="24"/>
          <w:szCs w:val="24"/>
        </w:rPr>
        <w:t xml:space="preserve"> Biri, istikamet yolunu takib ile nimet ve saadet-i dâreyne mazhar olan ehl-i nübüvvet ve salahat ve iman; kâinatın hakikî güzelliğine ve intizam ve kemaline mutabık olarak istikamette hareket ettiklerinden, hem kâinat sahibinin lütuflarına, hem iki cihanın saadetine mazhar olup beşeri, melekler derecelerine, belki fevkine terakki ettirmeğe vesile olarak dünyada iman hakikatlarıyla manevî bir cennet, âhirette bir saadet kazanıp ve kazandırmışlar.</w:t>
      </w:r>
    </w:p>
    <w:p w:rsidR="005A33ED" w:rsidRPr="005A33ED" w:rsidRDefault="005A33ED" w:rsidP="005A33ED">
      <w:pPr>
        <w:spacing w:before="120" w:after="0" w:line="240" w:lineRule="auto"/>
        <w:jc w:val="both"/>
        <w:rPr>
          <w:rFonts w:ascii="Calibri" w:hAnsi="Calibri" w:cs="Calibri"/>
          <w:sz w:val="24"/>
          <w:szCs w:val="24"/>
        </w:rPr>
      </w:pPr>
      <w:r w:rsidRPr="005A33ED">
        <w:rPr>
          <w:rFonts w:ascii="Calibri" w:hAnsi="Calibri" w:cs="Calibri"/>
          <w:sz w:val="24"/>
          <w:szCs w:val="24"/>
        </w:rPr>
        <w:t xml:space="preserve">İkinci cereyan, istikameti bırakıp ifrat ve tefritle aklı bir vesile-i azab ve elemler toplayıcı bir âlete çevirmesinden, insaniyeti en bedbaht bir hayvaniyetten aşağı düşürüp dünyada </w:t>
      </w:r>
      <w:r w:rsidRPr="005A33ED">
        <w:rPr>
          <w:rFonts w:ascii="Calibri" w:hAnsi="Calibri" w:cs="Calibri"/>
          <w:sz w:val="24"/>
          <w:szCs w:val="24"/>
        </w:rPr>
        <w:lastRenderedPageBreak/>
        <w:t>zulümlerine mukabil gazab-ı İlahî ve musibet tokatlarını yemekle beraber, dalaleti cihetinden, akıl alâkadarlığıyla kâinatı bir hüzüngâh ve matemhane-i umumiye ve zevalde yuvarlanan zîhayatlar için bir mezbaha, selhhane ve gayet çirkin ve karışık görüp ruhu, vicdanı dünyada bir manevî cehennemde olup, âhirette daimî bir azab çekmeğe kendini müstehak eder.</w:t>
      </w:r>
    </w:p>
    <w:p w:rsidR="005A33ED" w:rsidRPr="005A33ED" w:rsidRDefault="005A33ED" w:rsidP="005A33ED">
      <w:pPr>
        <w:spacing w:before="120" w:after="0" w:line="240" w:lineRule="auto"/>
        <w:jc w:val="both"/>
        <w:rPr>
          <w:rFonts w:ascii="Calibri" w:hAnsi="Calibri" w:cs="Calibri"/>
          <w:sz w:val="24"/>
          <w:szCs w:val="24"/>
        </w:rPr>
      </w:pPr>
      <w:r w:rsidRPr="005A33ED">
        <w:rPr>
          <w:rFonts w:ascii="Calibri" w:hAnsi="Calibri" w:cs="Calibri"/>
          <w:sz w:val="24"/>
          <w:szCs w:val="24"/>
        </w:rPr>
        <w:t xml:space="preserve">İşte Fatiha-i Şerife'nin âhirinde </w:t>
      </w:r>
      <w:r w:rsidRPr="005A33ED">
        <w:rPr>
          <w:rFonts w:ascii="Calibri" w:hAnsi="Calibri" w:cs="Calibri"/>
          <w:color w:val="FF0000"/>
          <w:sz w:val="28"/>
          <w:szCs w:val="28"/>
          <w:rtl/>
        </w:rPr>
        <w:t>اَلَّذِينَ اَنْعَمْتَ عَلَيْهِمْ غَيْرِ الْمَغْضُوبِ عَلَيْهِمْ وَلاَ الضَّالِّينَ</w:t>
      </w:r>
      <w:r w:rsidRPr="005A33ED">
        <w:rPr>
          <w:rFonts w:ascii="Calibri" w:hAnsi="Calibri" w:cs="Calibri"/>
          <w:sz w:val="24"/>
          <w:szCs w:val="24"/>
        </w:rPr>
        <w:t xml:space="preserve"> âyeti,</w:t>
      </w:r>
      <w:r w:rsidR="00F36BE5">
        <w:rPr>
          <w:rStyle w:val="FootnoteReference"/>
          <w:rFonts w:ascii="Calibri" w:hAnsi="Calibri" w:cs="Calibri"/>
          <w:sz w:val="24"/>
          <w:szCs w:val="24"/>
        </w:rPr>
        <w:footnoteReference w:id="7"/>
      </w:r>
      <w:r w:rsidRPr="005A33ED">
        <w:rPr>
          <w:rFonts w:ascii="Calibri" w:hAnsi="Calibri" w:cs="Calibri"/>
          <w:sz w:val="24"/>
          <w:szCs w:val="24"/>
        </w:rPr>
        <w:t xml:space="preserve"> bu iki cereyan-ı azîmi ders veriyor. </w:t>
      </w:r>
      <w:r w:rsidRPr="000508E4">
        <w:rPr>
          <w:rFonts w:ascii="Calibri" w:hAnsi="Calibri" w:cs="Calibri"/>
          <w:b/>
          <w:bCs/>
          <w:sz w:val="24"/>
          <w:szCs w:val="24"/>
        </w:rPr>
        <w:t>Ve Risale-i Nur'daki bütün müvazenelerin menbaı ve esası ve üstadı, bu âyettir. Madem yüzer müvazenelerle Nurlar, bu âyeti tefsir etmişler; biz dahi izahını ona havale ederek, bu kısa işaretle iktifa ederiz.</w:t>
      </w:r>
      <w:r w:rsidR="000508E4">
        <w:rPr>
          <w:rStyle w:val="FootnoteReference"/>
          <w:rFonts w:ascii="Calibri" w:hAnsi="Calibri" w:cs="Calibri"/>
          <w:b/>
          <w:bCs/>
          <w:sz w:val="24"/>
          <w:szCs w:val="24"/>
        </w:rPr>
        <w:footnoteReference w:id="8"/>
      </w:r>
    </w:p>
    <w:p w:rsidR="0069323D" w:rsidRPr="0077235C" w:rsidRDefault="0069323D" w:rsidP="0077235C">
      <w:pPr>
        <w:spacing w:before="120" w:after="0" w:line="240" w:lineRule="auto"/>
        <w:jc w:val="both"/>
        <w:rPr>
          <w:rFonts w:ascii="Calibri" w:hAnsi="Calibri" w:cs="Calibri"/>
          <w:sz w:val="24"/>
          <w:szCs w:val="24"/>
        </w:rPr>
      </w:pPr>
    </w:p>
    <w:sectPr w:rsidR="0069323D" w:rsidRPr="0077235C" w:rsidSect="006932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F5D" w:rsidRDefault="003C1F5D" w:rsidP="0077235C">
      <w:pPr>
        <w:spacing w:after="0" w:line="240" w:lineRule="auto"/>
      </w:pPr>
      <w:r>
        <w:separator/>
      </w:r>
    </w:p>
  </w:endnote>
  <w:endnote w:type="continuationSeparator" w:id="1">
    <w:p w:rsidR="003C1F5D" w:rsidRDefault="003C1F5D" w:rsidP="00772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F5D" w:rsidRDefault="003C1F5D" w:rsidP="0077235C">
      <w:pPr>
        <w:spacing w:after="0" w:line="240" w:lineRule="auto"/>
      </w:pPr>
      <w:r>
        <w:separator/>
      </w:r>
    </w:p>
  </w:footnote>
  <w:footnote w:type="continuationSeparator" w:id="1">
    <w:p w:rsidR="003C1F5D" w:rsidRDefault="003C1F5D" w:rsidP="0077235C">
      <w:pPr>
        <w:spacing w:after="0" w:line="240" w:lineRule="auto"/>
      </w:pPr>
      <w:r>
        <w:continuationSeparator/>
      </w:r>
    </w:p>
  </w:footnote>
  <w:footnote w:id="2">
    <w:p w:rsidR="000508E4" w:rsidRPr="000508E4" w:rsidRDefault="000508E4" w:rsidP="00D4233A">
      <w:pPr>
        <w:pStyle w:val="FootnoteText"/>
        <w:spacing w:before="120"/>
        <w:jc w:val="both"/>
        <w:rPr>
          <w:sz w:val="24"/>
          <w:szCs w:val="24"/>
        </w:rPr>
      </w:pPr>
      <w:r w:rsidRPr="000508E4">
        <w:rPr>
          <w:rStyle w:val="FootnoteReference"/>
          <w:sz w:val="24"/>
          <w:szCs w:val="24"/>
        </w:rPr>
        <w:footnoteRef/>
      </w:r>
      <w:r w:rsidRPr="000508E4">
        <w:rPr>
          <w:sz w:val="24"/>
          <w:szCs w:val="24"/>
        </w:rPr>
        <w:t xml:space="preserve"> </w:t>
      </w:r>
      <w:r w:rsidRPr="000508E4">
        <w:rPr>
          <w:i/>
          <w:iCs/>
          <w:sz w:val="24"/>
          <w:szCs w:val="24"/>
        </w:rPr>
        <w:t xml:space="preserve">(Bakınız: </w:t>
      </w:r>
      <w:r w:rsidRPr="000508E4">
        <w:rPr>
          <w:i/>
          <w:iCs/>
          <w:sz w:val="24"/>
          <w:szCs w:val="24"/>
          <w:highlight w:val="yellow"/>
        </w:rPr>
        <w:t>İstikamet</w:t>
      </w:r>
      <w:r w:rsidRPr="000508E4">
        <w:rPr>
          <w:i/>
          <w:iCs/>
          <w:sz w:val="24"/>
          <w:szCs w:val="24"/>
        </w:rPr>
        <w:t xml:space="preserve"> ve </w:t>
      </w:r>
      <w:r w:rsidRPr="000508E4">
        <w:rPr>
          <w:i/>
          <w:iCs/>
          <w:sz w:val="24"/>
          <w:szCs w:val="24"/>
          <w:highlight w:val="yellow"/>
        </w:rPr>
        <w:t>Müstakim</w:t>
      </w:r>
      <w:r w:rsidRPr="000508E4">
        <w:rPr>
          <w:i/>
          <w:iCs/>
          <w:sz w:val="24"/>
          <w:szCs w:val="24"/>
        </w:rPr>
        <w:t xml:space="preserve"> Derlemeleri ve İslam Prensipleri Ansiklopedisi </w:t>
      </w:r>
      <w:r w:rsidRPr="000508E4">
        <w:rPr>
          <w:i/>
          <w:iCs/>
          <w:sz w:val="24"/>
          <w:szCs w:val="24"/>
          <w:highlight w:val="yellow"/>
        </w:rPr>
        <w:t>Sırat-ı Müstakim</w:t>
      </w:r>
      <w:r w:rsidRPr="000508E4">
        <w:rPr>
          <w:i/>
          <w:iCs/>
          <w:sz w:val="24"/>
          <w:szCs w:val="24"/>
        </w:rPr>
        <w:t xml:space="preserve"> Maddesi)</w:t>
      </w:r>
    </w:p>
  </w:footnote>
  <w:footnote w:id="3">
    <w:p w:rsidR="00D4233A" w:rsidRDefault="00D4233A" w:rsidP="00D4233A">
      <w:pPr>
        <w:pStyle w:val="FootnoteText"/>
        <w:spacing w:before="120"/>
      </w:pPr>
      <w:r>
        <w:rPr>
          <w:rStyle w:val="FootnoteReference"/>
        </w:rPr>
        <w:footnoteRef/>
      </w:r>
      <w:r>
        <w:t xml:space="preserve"> </w:t>
      </w:r>
      <w:r w:rsidRPr="000508E4">
        <w:rPr>
          <w:i/>
          <w:iCs/>
          <w:sz w:val="24"/>
          <w:szCs w:val="24"/>
        </w:rPr>
        <w:t xml:space="preserve">(Bakınız: </w:t>
      </w:r>
      <w:r w:rsidRPr="00D4233A">
        <w:rPr>
          <w:i/>
          <w:iCs/>
          <w:sz w:val="24"/>
          <w:szCs w:val="24"/>
          <w:highlight w:val="yellow"/>
        </w:rPr>
        <w:t>Akıl</w:t>
      </w:r>
      <w:r w:rsidRPr="000508E4">
        <w:rPr>
          <w:i/>
          <w:iCs/>
          <w:sz w:val="24"/>
          <w:szCs w:val="24"/>
        </w:rPr>
        <w:t xml:space="preserve"> </w:t>
      </w:r>
      <w:r>
        <w:rPr>
          <w:i/>
          <w:iCs/>
          <w:sz w:val="24"/>
          <w:szCs w:val="24"/>
        </w:rPr>
        <w:t>Derlemes</w:t>
      </w:r>
      <w:r w:rsidRPr="000508E4">
        <w:rPr>
          <w:i/>
          <w:iCs/>
          <w:sz w:val="24"/>
          <w:szCs w:val="24"/>
        </w:rPr>
        <w:t>i)</w:t>
      </w:r>
    </w:p>
  </w:footnote>
  <w:footnote w:id="4">
    <w:p w:rsidR="00E82D98" w:rsidRDefault="00E82D98" w:rsidP="00D4233A">
      <w:pPr>
        <w:pStyle w:val="FootnoteText"/>
        <w:spacing w:before="120"/>
        <w:jc w:val="both"/>
        <w:rPr>
          <w:b/>
          <w:bCs/>
          <w:sz w:val="24"/>
          <w:szCs w:val="24"/>
        </w:rPr>
      </w:pPr>
      <w:r w:rsidRPr="00E82D98">
        <w:rPr>
          <w:rStyle w:val="FootnoteReference"/>
          <w:sz w:val="24"/>
          <w:szCs w:val="24"/>
        </w:rPr>
        <w:footnoteRef/>
      </w:r>
      <w:r w:rsidRPr="00E82D98">
        <w:rPr>
          <w:sz w:val="24"/>
          <w:szCs w:val="24"/>
        </w:rPr>
        <w:t xml:space="preserve"> </w:t>
      </w:r>
      <w:r w:rsidRPr="00E82D98">
        <w:rPr>
          <w:b/>
          <w:bCs/>
          <w:sz w:val="24"/>
          <w:szCs w:val="24"/>
        </w:rPr>
        <w:t xml:space="preserve"> Bu üç yolda</w:t>
      </w:r>
      <w:r>
        <w:rPr>
          <w:b/>
          <w:bCs/>
          <w:sz w:val="24"/>
          <w:szCs w:val="24"/>
        </w:rPr>
        <w:t xml:space="preserve"> (Sırat-ı müstakim ve mağdûb ve dâllînin yolları)</w:t>
      </w:r>
      <w:r w:rsidRPr="00E82D98">
        <w:rPr>
          <w:b/>
          <w:bCs/>
          <w:sz w:val="24"/>
          <w:szCs w:val="24"/>
        </w:rPr>
        <w:t xml:space="preserve"> gidenlerin </w:t>
      </w:r>
      <w:r>
        <w:rPr>
          <w:b/>
          <w:bCs/>
          <w:sz w:val="24"/>
          <w:szCs w:val="24"/>
        </w:rPr>
        <w:t xml:space="preserve">akıbetinin </w:t>
      </w:r>
      <w:r w:rsidRPr="00E82D98">
        <w:rPr>
          <w:b/>
          <w:bCs/>
          <w:sz w:val="24"/>
          <w:szCs w:val="24"/>
        </w:rPr>
        <w:t>kısa bir tarifi:</w:t>
      </w:r>
    </w:p>
    <w:p w:rsidR="00E82D98" w:rsidRPr="00E82D98" w:rsidRDefault="00E82D98" w:rsidP="00D4233A">
      <w:pPr>
        <w:pStyle w:val="FootnoteText"/>
        <w:spacing w:before="120"/>
        <w:jc w:val="both"/>
        <w:rPr>
          <w:sz w:val="24"/>
          <w:szCs w:val="24"/>
        </w:rPr>
      </w:pPr>
      <w:r>
        <w:rPr>
          <w:sz w:val="24"/>
          <w:szCs w:val="24"/>
        </w:rPr>
        <w:t>“</w:t>
      </w:r>
      <w:r w:rsidRPr="00E82D98">
        <w:rPr>
          <w:sz w:val="24"/>
          <w:szCs w:val="24"/>
        </w:rPr>
        <w:t>Kabir var, hiç kimse inkâr edemez. Herkes ister istemez oraya girecek. Ve oraya girmek için de üç tarzda üç yoldan başka yol yok.</w:t>
      </w:r>
    </w:p>
    <w:p w:rsidR="00E82D98" w:rsidRPr="00E82D98" w:rsidRDefault="00E82D98" w:rsidP="00D4233A">
      <w:pPr>
        <w:pStyle w:val="FootnoteText"/>
        <w:spacing w:before="120"/>
        <w:jc w:val="both"/>
        <w:rPr>
          <w:sz w:val="24"/>
          <w:szCs w:val="24"/>
        </w:rPr>
      </w:pPr>
      <w:r w:rsidRPr="00E82D98">
        <w:rPr>
          <w:b/>
          <w:bCs/>
          <w:sz w:val="24"/>
          <w:szCs w:val="24"/>
        </w:rPr>
        <w:t>Birinci yol:</w:t>
      </w:r>
      <w:r w:rsidRPr="00E82D98">
        <w:rPr>
          <w:sz w:val="24"/>
          <w:szCs w:val="24"/>
        </w:rPr>
        <w:t xml:space="preserve"> O kabir, ehl-i iman için bu dünyadan daha güzel bir âlemin kapısıdır.</w:t>
      </w:r>
    </w:p>
    <w:p w:rsidR="00E82D98" w:rsidRPr="00E82D98" w:rsidRDefault="00E82D98" w:rsidP="00D4233A">
      <w:pPr>
        <w:pStyle w:val="FootnoteText"/>
        <w:spacing w:before="120"/>
        <w:jc w:val="both"/>
        <w:rPr>
          <w:sz w:val="24"/>
          <w:szCs w:val="24"/>
        </w:rPr>
      </w:pPr>
      <w:r w:rsidRPr="00E82D98">
        <w:rPr>
          <w:b/>
          <w:bCs/>
          <w:sz w:val="24"/>
          <w:szCs w:val="24"/>
        </w:rPr>
        <w:t>İkinci yol:</w:t>
      </w:r>
      <w:r w:rsidRPr="00E82D98">
        <w:rPr>
          <w:sz w:val="24"/>
          <w:szCs w:val="24"/>
        </w:rPr>
        <w:t xml:space="preserve"> Âhireti tasdik eden, fakat sefahet ve dalalette gidenlere, bir haps-i ebedî ve bütün dostlarından bir tecrid içinde bir haps-i münferid, yalnız başına bir hapis kapısıdır. Öyle gördüğü ve itikad ettiği ve inandığı gibi hareket etmediği için öyle muamele görecek.</w:t>
      </w:r>
    </w:p>
    <w:p w:rsidR="00E82D98" w:rsidRDefault="00E82D98" w:rsidP="00D4233A">
      <w:pPr>
        <w:pStyle w:val="FootnoteText"/>
        <w:spacing w:before="120"/>
        <w:jc w:val="both"/>
        <w:rPr>
          <w:b/>
          <w:bCs/>
          <w:sz w:val="24"/>
          <w:szCs w:val="24"/>
        </w:rPr>
      </w:pPr>
      <w:r w:rsidRPr="00E82D98">
        <w:rPr>
          <w:b/>
          <w:bCs/>
          <w:sz w:val="24"/>
          <w:szCs w:val="24"/>
        </w:rPr>
        <w:t>Üçüncü yol:</w:t>
      </w:r>
      <w:r w:rsidRPr="00E82D98">
        <w:rPr>
          <w:sz w:val="24"/>
          <w:szCs w:val="24"/>
        </w:rPr>
        <w:t xml:space="preserve"> Âhirete inanmayan ehl-i inkâr ve dalalet için bir i'dam-ı ebedî kapısı... Yani hem kendisini, hem bütün sevdiklerini i'dam edecek bir darağacıdır. Öyle bildiği için, cezası olarak aynını görecek. Bu iki şık bedihîdir, delil istemiyor, göz ile görünür.</w:t>
      </w:r>
      <w:r>
        <w:rPr>
          <w:sz w:val="24"/>
          <w:szCs w:val="24"/>
        </w:rPr>
        <w:t xml:space="preserve">” </w:t>
      </w:r>
      <w:r w:rsidRPr="00E82D98">
        <w:rPr>
          <w:b/>
          <w:bCs/>
          <w:sz w:val="24"/>
          <w:szCs w:val="24"/>
        </w:rPr>
        <w:t>Sözler (142)</w:t>
      </w:r>
    </w:p>
    <w:p w:rsidR="00F36BE5" w:rsidRPr="00E82D98" w:rsidRDefault="00F36BE5" w:rsidP="00F36BE5">
      <w:pPr>
        <w:pStyle w:val="FootnoteText"/>
        <w:spacing w:before="120"/>
        <w:jc w:val="both"/>
        <w:rPr>
          <w:b/>
          <w:bCs/>
          <w:sz w:val="24"/>
          <w:szCs w:val="24"/>
        </w:rPr>
      </w:pPr>
      <w:r>
        <w:rPr>
          <w:rFonts w:ascii="Calibri" w:hAnsi="Calibri" w:cs="Calibri"/>
          <w:sz w:val="24"/>
          <w:szCs w:val="24"/>
        </w:rPr>
        <w:t>“</w:t>
      </w:r>
      <w:r w:rsidRPr="00F36BE5">
        <w:rPr>
          <w:rFonts w:ascii="Calibri" w:hAnsi="Calibri" w:cs="Calibri"/>
          <w:sz w:val="24"/>
          <w:szCs w:val="24"/>
        </w:rPr>
        <w:t xml:space="preserve">İşte </w:t>
      </w:r>
      <w:r w:rsidRPr="00F36BE5">
        <w:rPr>
          <w:rFonts w:ascii="Calibri" w:hAnsi="Calibri" w:cs="Calibri"/>
          <w:color w:val="FF0000"/>
          <w:sz w:val="28"/>
          <w:szCs w:val="28"/>
          <w:rtl/>
        </w:rPr>
        <w:t>وَلاَ الضَّالِّينَ</w:t>
      </w:r>
      <w:r w:rsidRPr="00F36BE5">
        <w:rPr>
          <w:rFonts w:ascii="Calibri" w:hAnsi="Calibri" w:cs="Calibri"/>
          <w:sz w:val="24"/>
          <w:szCs w:val="24"/>
        </w:rPr>
        <w:t xml:space="preserve"> ile işaret olunan evvelki yol, tabiata saplananların ve tabiiyyun fikrini taşıyanların mesleğidir ki; onda, hakikata ve nura geçmek için ne kadar müşkilât olduğunu hissettiniz. </w:t>
      </w:r>
      <w:r w:rsidRPr="00F36BE5">
        <w:rPr>
          <w:rFonts w:ascii="Calibri" w:hAnsi="Calibri" w:cs="Calibri"/>
          <w:color w:val="FF0000"/>
          <w:sz w:val="28"/>
          <w:szCs w:val="28"/>
          <w:rtl/>
        </w:rPr>
        <w:t>غَيْرِ الْمَغْضُوبِ</w:t>
      </w:r>
      <w:r w:rsidRPr="00F36BE5">
        <w:rPr>
          <w:rFonts w:ascii="Calibri" w:hAnsi="Calibri" w:cs="Calibri"/>
          <w:sz w:val="24"/>
          <w:szCs w:val="24"/>
        </w:rPr>
        <w:t xml:space="preserve"> ile işaret olunan ikinci yol, esbabperestlerin ve vesaite icad ve tesir verenlerin, Meşaiyyun hükeması gibi; yalnız akıl ile, fikir ile hakikat-ül hakaika ve Vâcib-ül Vücud'un marifetine yol açanların mesleğidir. </w:t>
      </w:r>
      <w:r w:rsidRPr="00F36BE5">
        <w:rPr>
          <w:rFonts w:ascii="Calibri" w:hAnsi="Calibri" w:cs="Calibri"/>
          <w:color w:val="FF0000"/>
          <w:sz w:val="28"/>
          <w:szCs w:val="28"/>
          <w:rtl/>
        </w:rPr>
        <w:t>اَلَّذِينَ اَنْعَمْتَ عَلَيْهِمْ</w:t>
      </w:r>
      <w:r w:rsidRPr="00F36BE5">
        <w:rPr>
          <w:rFonts w:ascii="Calibri" w:hAnsi="Calibri" w:cs="Calibri"/>
          <w:sz w:val="24"/>
          <w:szCs w:val="24"/>
        </w:rPr>
        <w:t xml:space="preserve"> ile işaret olunan üçüncü yol ise: Sırat-ı müstakim ehli olan ehl-i Kur'anın cadde-i nuraniyesidir ki en kısa, en rahat, en selâmet ve herkese açık, semavî ve rahmanî ve nuranî bir meslektir.</w:t>
      </w:r>
      <w:r>
        <w:rPr>
          <w:rFonts w:ascii="Calibri" w:hAnsi="Calibri" w:cs="Calibri"/>
          <w:sz w:val="24"/>
          <w:szCs w:val="24"/>
        </w:rPr>
        <w:t xml:space="preserve">” </w:t>
      </w:r>
      <w:r>
        <w:rPr>
          <w:b/>
          <w:bCs/>
          <w:sz w:val="24"/>
          <w:szCs w:val="24"/>
        </w:rPr>
        <w:t>Sözler (</w:t>
      </w:r>
      <w:r w:rsidRPr="00F36BE5">
        <w:rPr>
          <w:b/>
          <w:bCs/>
          <w:sz w:val="24"/>
          <w:szCs w:val="24"/>
        </w:rPr>
        <w:t>546)</w:t>
      </w:r>
    </w:p>
  </w:footnote>
  <w:footnote w:id="5">
    <w:p w:rsidR="000508E4" w:rsidRPr="000508E4" w:rsidRDefault="000508E4" w:rsidP="00D4233A">
      <w:pPr>
        <w:pStyle w:val="FootnoteText"/>
        <w:spacing w:before="120"/>
        <w:jc w:val="both"/>
        <w:rPr>
          <w:sz w:val="24"/>
          <w:szCs w:val="24"/>
        </w:rPr>
      </w:pPr>
      <w:r w:rsidRPr="000508E4">
        <w:rPr>
          <w:rStyle w:val="FootnoteReference"/>
          <w:sz w:val="24"/>
          <w:szCs w:val="24"/>
        </w:rPr>
        <w:footnoteRef/>
      </w:r>
      <w:r w:rsidRPr="000508E4">
        <w:rPr>
          <w:sz w:val="24"/>
          <w:szCs w:val="24"/>
        </w:rPr>
        <w:t xml:space="preserve"> </w:t>
      </w:r>
      <w:r w:rsidRPr="000508E4">
        <w:rPr>
          <w:i/>
          <w:iCs/>
          <w:sz w:val="24"/>
          <w:szCs w:val="24"/>
        </w:rPr>
        <w:t xml:space="preserve">(Bakınız: </w:t>
      </w:r>
      <w:r w:rsidRPr="000508E4">
        <w:rPr>
          <w:i/>
          <w:iCs/>
          <w:sz w:val="24"/>
          <w:szCs w:val="24"/>
          <w:highlight w:val="yellow"/>
        </w:rPr>
        <w:t>Cereyan</w:t>
      </w:r>
      <w:r w:rsidRPr="000508E4">
        <w:rPr>
          <w:i/>
          <w:iCs/>
          <w:sz w:val="24"/>
          <w:szCs w:val="24"/>
        </w:rPr>
        <w:t xml:space="preserve">, </w:t>
      </w:r>
      <w:r w:rsidRPr="000508E4">
        <w:rPr>
          <w:i/>
          <w:iCs/>
          <w:sz w:val="24"/>
          <w:szCs w:val="24"/>
          <w:highlight w:val="yellow"/>
        </w:rPr>
        <w:t>Mehdiyet</w:t>
      </w:r>
      <w:r w:rsidR="00E82D98">
        <w:rPr>
          <w:i/>
          <w:iCs/>
          <w:sz w:val="24"/>
          <w:szCs w:val="24"/>
        </w:rPr>
        <w:t xml:space="preserve">, </w:t>
      </w:r>
      <w:r w:rsidR="00E82D98" w:rsidRPr="00E82D98">
        <w:rPr>
          <w:i/>
          <w:iCs/>
          <w:sz w:val="24"/>
          <w:szCs w:val="24"/>
          <w:highlight w:val="yellow"/>
        </w:rPr>
        <w:t>Deccal</w:t>
      </w:r>
      <w:r w:rsidRPr="000508E4">
        <w:rPr>
          <w:i/>
          <w:iCs/>
          <w:sz w:val="24"/>
          <w:szCs w:val="24"/>
        </w:rPr>
        <w:t xml:space="preserve"> ve </w:t>
      </w:r>
      <w:r w:rsidRPr="000508E4">
        <w:rPr>
          <w:i/>
          <w:iCs/>
          <w:sz w:val="24"/>
          <w:szCs w:val="24"/>
          <w:highlight w:val="yellow"/>
        </w:rPr>
        <w:t>Süfyaniyet</w:t>
      </w:r>
      <w:r w:rsidRPr="000508E4">
        <w:rPr>
          <w:i/>
          <w:iCs/>
          <w:sz w:val="24"/>
          <w:szCs w:val="24"/>
        </w:rPr>
        <w:t xml:space="preserve"> Derlemeleri)</w:t>
      </w:r>
    </w:p>
  </w:footnote>
  <w:footnote w:id="6">
    <w:p w:rsidR="005A33ED" w:rsidRPr="000508E4" w:rsidRDefault="005A33ED" w:rsidP="00D4233A">
      <w:pPr>
        <w:pStyle w:val="FootnoteText"/>
        <w:spacing w:before="120"/>
        <w:jc w:val="both"/>
        <w:rPr>
          <w:sz w:val="24"/>
          <w:szCs w:val="24"/>
        </w:rPr>
      </w:pPr>
      <w:r w:rsidRPr="000508E4">
        <w:rPr>
          <w:rStyle w:val="FootnoteReference"/>
          <w:sz w:val="24"/>
          <w:szCs w:val="24"/>
        </w:rPr>
        <w:footnoteRef/>
      </w:r>
      <w:r w:rsidRPr="000508E4">
        <w:rPr>
          <w:sz w:val="24"/>
          <w:szCs w:val="24"/>
        </w:rPr>
        <w:t xml:space="preserve"> </w:t>
      </w:r>
      <w:r w:rsidRPr="000508E4">
        <w:rPr>
          <w:i/>
          <w:iCs/>
          <w:sz w:val="24"/>
          <w:szCs w:val="24"/>
        </w:rPr>
        <w:t xml:space="preserve">(Bakınız: </w:t>
      </w:r>
      <w:r w:rsidRPr="000508E4">
        <w:rPr>
          <w:i/>
          <w:iCs/>
          <w:sz w:val="24"/>
          <w:szCs w:val="24"/>
          <w:highlight w:val="yellow"/>
        </w:rPr>
        <w:t>Mübareze</w:t>
      </w:r>
      <w:r w:rsidRPr="000508E4">
        <w:rPr>
          <w:i/>
          <w:iCs/>
          <w:sz w:val="24"/>
          <w:szCs w:val="24"/>
        </w:rPr>
        <w:t xml:space="preserve"> ve </w:t>
      </w:r>
      <w:r w:rsidR="000508E4" w:rsidRPr="000508E4">
        <w:rPr>
          <w:i/>
          <w:iCs/>
          <w:sz w:val="24"/>
          <w:szCs w:val="24"/>
          <w:highlight w:val="yellow"/>
        </w:rPr>
        <w:t>Mücahede</w:t>
      </w:r>
      <w:r w:rsidRPr="000508E4">
        <w:rPr>
          <w:i/>
          <w:iCs/>
          <w:sz w:val="24"/>
          <w:szCs w:val="24"/>
        </w:rPr>
        <w:t xml:space="preserve"> Derlemeleri)</w:t>
      </w:r>
    </w:p>
  </w:footnote>
  <w:footnote w:id="7">
    <w:p w:rsidR="00F36BE5" w:rsidRDefault="00F36BE5" w:rsidP="00F36BE5">
      <w:pPr>
        <w:pStyle w:val="FootnoteText"/>
      </w:pPr>
      <w:r>
        <w:rPr>
          <w:rStyle w:val="FootnoteReference"/>
        </w:rPr>
        <w:footnoteRef/>
      </w:r>
      <w:r>
        <w:t xml:space="preserve"> </w:t>
      </w:r>
      <w:r w:rsidRPr="000508E4">
        <w:rPr>
          <w:i/>
          <w:iCs/>
          <w:sz w:val="24"/>
          <w:szCs w:val="24"/>
        </w:rPr>
        <w:t xml:space="preserve">(Bakınız: </w:t>
      </w:r>
      <w:r w:rsidRPr="00F36BE5">
        <w:rPr>
          <w:i/>
          <w:iCs/>
          <w:sz w:val="24"/>
          <w:szCs w:val="24"/>
          <w:highlight w:val="yellow"/>
        </w:rPr>
        <w:t>Fatiha</w:t>
      </w:r>
      <w:r w:rsidRPr="000508E4">
        <w:rPr>
          <w:i/>
          <w:iCs/>
          <w:sz w:val="24"/>
          <w:szCs w:val="24"/>
        </w:rPr>
        <w:t xml:space="preserve"> </w:t>
      </w:r>
      <w:r>
        <w:rPr>
          <w:i/>
          <w:iCs/>
          <w:sz w:val="24"/>
          <w:szCs w:val="24"/>
        </w:rPr>
        <w:t>Derlemes</w:t>
      </w:r>
      <w:r w:rsidRPr="000508E4">
        <w:rPr>
          <w:i/>
          <w:iCs/>
          <w:sz w:val="24"/>
          <w:szCs w:val="24"/>
        </w:rPr>
        <w:t>i)</w:t>
      </w:r>
    </w:p>
  </w:footnote>
  <w:footnote w:id="8">
    <w:p w:rsidR="000508E4" w:rsidRDefault="000508E4" w:rsidP="00D4233A">
      <w:pPr>
        <w:pStyle w:val="FootnoteText"/>
        <w:spacing w:before="120"/>
      </w:pPr>
      <w:r>
        <w:rPr>
          <w:rStyle w:val="FootnoteReference"/>
        </w:rPr>
        <w:footnoteRef/>
      </w:r>
      <w:r>
        <w:t xml:space="preserve"> </w:t>
      </w:r>
      <w:r w:rsidRPr="000508E4">
        <w:rPr>
          <w:i/>
          <w:iCs/>
          <w:sz w:val="24"/>
          <w:szCs w:val="24"/>
        </w:rPr>
        <w:t xml:space="preserve">(Bakınız: </w:t>
      </w:r>
      <w:r w:rsidR="00E82D98" w:rsidRPr="00E82D98">
        <w:rPr>
          <w:i/>
          <w:iCs/>
          <w:sz w:val="24"/>
          <w:szCs w:val="24"/>
          <w:highlight w:val="yellow"/>
        </w:rPr>
        <w:t>Temsil</w:t>
      </w:r>
      <w:r w:rsidR="00E82D98">
        <w:rPr>
          <w:i/>
          <w:iCs/>
          <w:sz w:val="24"/>
          <w:szCs w:val="24"/>
        </w:rPr>
        <w:t xml:space="preserve"> ve </w:t>
      </w:r>
      <w:r w:rsidRPr="000508E4">
        <w:rPr>
          <w:i/>
          <w:iCs/>
          <w:sz w:val="24"/>
          <w:szCs w:val="24"/>
          <w:highlight w:val="yellow"/>
        </w:rPr>
        <w:t>Risale-i Nur</w:t>
      </w:r>
      <w:r w:rsidRPr="000508E4">
        <w:rPr>
          <w:i/>
          <w:iCs/>
          <w:sz w:val="24"/>
          <w:szCs w:val="24"/>
        </w:rPr>
        <w:t xml:space="preserve"> </w:t>
      </w:r>
      <w:r>
        <w:rPr>
          <w:i/>
          <w:iCs/>
          <w:sz w:val="24"/>
          <w:szCs w:val="24"/>
        </w:rPr>
        <w:t>Derleme</w:t>
      </w:r>
      <w:r w:rsidR="00E82D98">
        <w:rPr>
          <w:i/>
          <w:iCs/>
          <w:sz w:val="24"/>
          <w:szCs w:val="24"/>
        </w:rPr>
        <w:t>ler</w:t>
      </w:r>
      <w:r w:rsidRPr="000508E4">
        <w:rPr>
          <w:i/>
          <w:iCs/>
          <w:sz w:val="24"/>
          <w:szCs w:val="24"/>
        </w:rPr>
        <w:t>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77235C"/>
    <w:rsid w:val="000508E4"/>
    <w:rsid w:val="003C1F5D"/>
    <w:rsid w:val="005A33ED"/>
    <w:rsid w:val="00602127"/>
    <w:rsid w:val="0069323D"/>
    <w:rsid w:val="0077235C"/>
    <w:rsid w:val="00830F4D"/>
    <w:rsid w:val="00CA4430"/>
    <w:rsid w:val="00D4233A"/>
    <w:rsid w:val="00E82D98"/>
    <w:rsid w:val="00F36BE5"/>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77235C"/>
    <w:rPr>
      <w:vertAlign w:val="superscript"/>
    </w:rPr>
  </w:style>
  <w:style w:type="paragraph" w:styleId="FootnoteText">
    <w:name w:val="footnote text"/>
    <w:basedOn w:val="Normal"/>
    <w:link w:val="FootnoteTextChar"/>
    <w:uiPriority w:val="99"/>
    <w:semiHidden/>
    <w:unhideWhenUsed/>
    <w:rsid w:val="005A3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33ED"/>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79EEF-D10C-4E21-AB03-883F11E6D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5</cp:revision>
  <dcterms:created xsi:type="dcterms:W3CDTF">2023-11-07T12:34:00Z</dcterms:created>
  <dcterms:modified xsi:type="dcterms:W3CDTF">2023-11-08T19:38:00Z</dcterms:modified>
</cp:coreProperties>
</file>